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CE" w:rsidRDefault="00041ACE" w:rsidP="00041ACE">
      <w:pPr>
        <w:jc w:val="both"/>
        <w:rPr>
          <w:rFonts w:ascii="Arial" w:hAnsi="Arial" w:cs="Arial"/>
        </w:rPr>
      </w:pPr>
      <w:bookmarkStart w:id="0" w:name="_GoBack"/>
      <w:bookmarkEnd w:id="0"/>
    </w:p>
    <w:p w:rsidR="00041ACE" w:rsidRPr="005F1192" w:rsidRDefault="00041ACE" w:rsidP="00041ACE">
      <w:pPr>
        <w:jc w:val="both"/>
        <w:rPr>
          <w:rFonts w:ascii="Arial" w:hAnsi="Arial" w:cs="Arial"/>
        </w:rPr>
      </w:pPr>
      <w:r w:rsidRPr="005F1192">
        <w:rPr>
          <w:rFonts w:ascii="Arial" w:hAnsi="Arial" w:cs="Arial"/>
        </w:rPr>
        <w:t xml:space="preserve">San Luis de la Paz, Guanajuato., </w:t>
      </w:r>
      <w:r>
        <w:rPr>
          <w:rFonts w:ascii="Arial" w:hAnsi="Arial" w:cs="Arial"/>
        </w:rPr>
        <w:t xml:space="preserve">14 catorce </w:t>
      </w:r>
      <w:r w:rsidRPr="005F1192">
        <w:rPr>
          <w:rFonts w:ascii="Arial" w:hAnsi="Arial" w:cs="Arial"/>
        </w:rPr>
        <w:t xml:space="preserve"> de </w:t>
      </w:r>
      <w:r>
        <w:rPr>
          <w:rFonts w:ascii="Arial" w:hAnsi="Arial" w:cs="Arial"/>
        </w:rPr>
        <w:t xml:space="preserve">abril </w:t>
      </w:r>
      <w:r w:rsidRPr="005F1192">
        <w:rPr>
          <w:rFonts w:ascii="Arial" w:hAnsi="Arial" w:cs="Arial"/>
        </w:rPr>
        <w:t>de 2021 dos mil veintiuno.------</w:t>
      </w:r>
      <w:r>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VISTOS.-</w:t>
      </w:r>
      <w:r w:rsidRPr="005F1192">
        <w:rPr>
          <w:rFonts w:ascii="Arial" w:hAnsi="Arial" w:cs="Arial"/>
        </w:rPr>
        <w:t xml:space="preserve"> Para resolver los autos de la Demanda de Juicio de Nulidad Expediente Número 02/2021, promovido por la ciudadana </w:t>
      </w:r>
      <w:r>
        <w:rPr>
          <w:rFonts w:ascii="Arial" w:hAnsi="Arial" w:cs="Arial"/>
        </w:rPr>
        <w:t>**</w:t>
      </w:r>
      <w:r w:rsidRPr="005F1192">
        <w:rPr>
          <w:rFonts w:ascii="Arial" w:hAnsi="Arial" w:cs="Arial"/>
          <w:b/>
        </w:rPr>
        <w:t xml:space="preserve">, </w:t>
      </w:r>
      <w:r w:rsidRPr="005F1192">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041ACE" w:rsidRPr="005F1192" w:rsidRDefault="00041ACE" w:rsidP="00041ACE">
      <w:pPr>
        <w:jc w:val="center"/>
        <w:rPr>
          <w:rFonts w:ascii="Arial" w:hAnsi="Arial" w:cs="Arial"/>
          <w:b/>
        </w:rPr>
      </w:pPr>
      <w:r w:rsidRPr="005F1192">
        <w:rPr>
          <w:rFonts w:ascii="Arial" w:hAnsi="Arial" w:cs="Arial"/>
          <w:b/>
        </w:rPr>
        <w:t>R E S U L T A N D O</w:t>
      </w:r>
    </w:p>
    <w:p w:rsidR="00041ACE" w:rsidRPr="005F1192" w:rsidRDefault="00041ACE" w:rsidP="00041ACE">
      <w:pPr>
        <w:jc w:val="both"/>
        <w:rPr>
          <w:rFonts w:ascii="Arial" w:hAnsi="Arial" w:cs="Arial"/>
        </w:rPr>
      </w:pPr>
      <w:r w:rsidRPr="005F1192">
        <w:rPr>
          <w:rFonts w:ascii="Arial" w:hAnsi="Arial" w:cs="Arial"/>
          <w:b/>
        </w:rPr>
        <w:t>PRIMERO.-</w:t>
      </w:r>
      <w:r w:rsidRPr="005F1192">
        <w:rPr>
          <w:rFonts w:ascii="Arial" w:hAnsi="Arial" w:cs="Arial"/>
        </w:rPr>
        <w:t xml:space="preserve"> Con fecha 18 dieciocho de enero de 2021 dos mil veintiuno, la ciudadana </w:t>
      </w:r>
      <w:r>
        <w:rPr>
          <w:rFonts w:ascii="Arial" w:hAnsi="Arial" w:cs="Arial"/>
        </w:rPr>
        <w:t>**</w:t>
      </w:r>
      <w:r w:rsidRPr="005F1192">
        <w:rPr>
          <w:rFonts w:ascii="Arial" w:hAnsi="Arial" w:cs="Arial"/>
          <w:b/>
        </w:rPr>
        <w:t xml:space="preserve">, </w:t>
      </w:r>
      <w:r w:rsidRPr="005F1192">
        <w:rPr>
          <w:rFonts w:ascii="Arial" w:hAnsi="Arial" w:cs="Arial"/>
        </w:rPr>
        <w:t xml:space="preserve"> promovió   Demanda de Juicio de Nulidad en contra del Encargado del Departamento de Predial y Catastro, sobre el acto administrativo traducido en el oficio número 1195/2020 de fecha 18 dieciocho de diciembre de 2020 dos mil veinte,  solicitando la nulidad del mismo en  los términos del artículo 255 del Código de Procedimiento y Justicia Administrativa para el Estado y los Municipios de Guanajuato.---------------------------------------------</w:t>
      </w:r>
      <w:r>
        <w:rPr>
          <w:rFonts w:ascii="Arial" w:hAnsi="Arial" w:cs="Arial"/>
        </w:rPr>
        <w:t>-----------------------</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SEGUNDO.-</w:t>
      </w:r>
      <w:r w:rsidRPr="005F1192">
        <w:rPr>
          <w:rFonts w:ascii="Arial" w:hAnsi="Arial" w:cs="Arial"/>
        </w:rPr>
        <w:t xml:space="preserve"> Por auto de fecha 19 diecinueve de enero de la presente anualidad,  se radicó y requirió a la autoridad responsable para que, en el término  de 10 diez días, diera contestación a la demanda interpuesta en su contra, lo anterior  de conformidad con el artículo 279 del Código  de la materia, quedando debida y respectivamente notificados el actor  y la autoridad demandada  el día  25 veinticinco  de enero  de 2021 dos mil veintiuno.--------------</w:t>
      </w:r>
      <w:r>
        <w:rPr>
          <w:rFonts w:ascii="Arial" w:hAnsi="Arial" w:cs="Arial"/>
        </w:rPr>
        <w:t>-----------------------------------------------------------------</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TERCERO.-</w:t>
      </w:r>
      <w:r w:rsidRPr="005F1192">
        <w:rPr>
          <w:rFonts w:ascii="Arial" w:hAnsi="Arial" w:cs="Arial"/>
        </w:rPr>
        <w:t xml:space="preserve"> Por auto de fecha 4 cuatro de febrero  del año que transcurre, se tuvo a la autoridad demandada por dando contestación a la demanda de juicio de nulidad interpuesta en su contra, lo anterior de conformidad con lo señalado por el artículo 279 del Código que impera en este Juzgado.----------</w:t>
      </w:r>
      <w:r>
        <w:rPr>
          <w:rFonts w:ascii="Arial" w:hAnsi="Arial" w:cs="Arial"/>
        </w:rPr>
        <w:t>--------------------</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 xml:space="preserve">CUARTO.- </w:t>
      </w:r>
      <w:r w:rsidRPr="005F1192">
        <w:rPr>
          <w:rFonts w:ascii="Arial" w:hAnsi="Arial" w:cs="Arial"/>
        </w:rPr>
        <w:t>En fecha 18 dieciocho de marzo del año que corre,  se celebró la  Audiencia de Alegatos, con  la presentación de apuntes de alegatos de la parte demandante,   lo anterior de conformidad con los artículos 287 del Código que regula esta materia.--------</w:t>
      </w:r>
      <w:r>
        <w:rPr>
          <w:rFonts w:ascii="Arial" w:hAnsi="Arial" w:cs="Arial"/>
        </w:rPr>
        <w:t>------------------------------------------------------------------------------</w:t>
      </w:r>
      <w:r w:rsidRPr="005F1192">
        <w:rPr>
          <w:rFonts w:ascii="Arial" w:hAnsi="Arial" w:cs="Arial"/>
        </w:rPr>
        <w:t>--------</w:t>
      </w:r>
    </w:p>
    <w:p w:rsidR="00041ACE" w:rsidRPr="005F1192" w:rsidRDefault="00041ACE" w:rsidP="00041ACE">
      <w:pPr>
        <w:jc w:val="center"/>
        <w:rPr>
          <w:rFonts w:ascii="Arial" w:hAnsi="Arial" w:cs="Arial"/>
          <w:b/>
        </w:rPr>
      </w:pPr>
      <w:r w:rsidRPr="005F1192">
        <w:rPr>
          <w:rFonts w:ascii="Arial" w:hAnsi="Arial" w:cs="Arial"/>
          <w:b/>
        </w:rPr>
        <w:t>C O N S I D E R A N D O</w:t>
      </w:r>
    </w:p>
    <w:p w:rsidR="00041ACE" w:rsidRPr="005F1192" w:rsidRDefault="00041ACE" w:rsidP="00041ACE">
      <w:pPr>
        <w:jc w:val="both"/>
        <w:rPr>
          <w:rFonts w:ascii="Arial" w:hAnsi="Arial" w:cs="Arial"/>
        </w:rPr>
      </w:pPr>
      <w:r w:rsidRPr="005F1192">
        <w:rPr>
          <w:rFonts w:ascii="Arial" w:hAnsi="Arial" w:cs="Arial"/>
          <w:b/>
        </w:rPr>
        <w:t xml:space="preserve">PRIMERO.- </w:t>
      </w:r>
      <w:r w:rsidRPr="005F119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SEGUNDO.-</w:t>
      </w:r>
      <w:r w:rsidRPr="005F119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41ACE" w:rsidRPr="005F1192" w:rsidRDefault="00041ACE" w:rsidP="00041ACE">
      <w:pPr>
        <w:jc w:val="both"/>
        <w:rPr>
          <w:rFonts w:ascii="Arial" w:hAnsi="Arial" w:cs="Arial"/>
          <w:i/>
        </w:rPr>
      </w:pPr>
      <w:r w:rsidRPr="005F1192">
        <w:rPr>
          <w:rFonts w:ascii="Arial" w:hAnsi="Arial" w:cs="Arial"/>
          <w:b/>
        </w:rPr>
        <w:t>TERCERO.-</w:t>
      </w:r>
      <w:r w:rsidRPr="005F1192">
        <w:rPr>
          <w:rFonts w:ascii="Arial" w:hAnsi="Arial" w:cs="Arial"/>
        </w:rPr>
        <w:t xml:space="preserve"> Las causales de improcedencia y sobreseimiento se analizan a petición de parte, o en su defecto, de oficio por ser cuestiones de orden público, lo anterior </w:t>
      </w:r>
      <w:r w:rsidRPr="005F1192">
        <w:rPr>
          <w:rFonts w:ascii="Arial" w:hAnsi="Arial" w:cs="Arial"/>
        </w:rPr>
        <w:lastRenderedPageBreak/>
        <w:t>atento a lo dispuesto por los numerales 261 y 262 del Código de Procedimiento y Justicia Administrativa para el Estado y los Municipios de Guanajuato,   sirve de apoyo la siguiente Tesis Jurisprudencial.- “</w:t>
      </w:r>
      <w:r w:rsidRPr="005F1192">
        <w:rPr>
          <w:rFonts w:ascii="Arial" w:hAnsi="Arial" w:cs="Arial"/>
          <w:b/>
          <w:i/>
        </w:rPr>
        <w:t>SOBRESEIMIENTO, MOTIVOS DE</w:t>
      </w:r>
      <w:r w:rsidRPr="005F119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41ACE" w:rsidRDefault="00041ACE" w:rsidP="00041ACE">
      <w:pPr>
        <w:jc w:val="both"/>
        <w:rPr>
          <w:rFonts w:ascii="Arial" w:hAnsi="Arial" w:cs="Arial"/>
          <w:i/>
        </w:rPr>
      </w:pPr>
      <w:r w:rsidRPr="005F1192">
        <w:rPr>
          <w:rFonts w:ascii="Arial" w:hAnsi="Arial" w:cs="Arial"/>
          <w:b/>
          <w:i/>
        </w:rPr>
        <w:t>“IMPROCEDENCIA.-</w:t>
      </w:r>
      <w:r w:rsidRPr="005F119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041ACE" w:rsidRPr="005F1192" w:rsidRDefault="00041ACE" w:rsidP="00041ACE">
      <w:pPr>
        <w:jc w:val="both"/>
        <w:rPr>
          <w:rFonts w:ascii="Arial" w:hAnsi="Arial" w:cs="Arial"/>
          <w:i/>
        </w:rPr>
      </w:pPr>
      <w:r w:rsidRPr="005F1192">
        <w:rPr>
          <w:rFonts w:ascii="Arial" w:hAnsi="Arial" w:cs="Arial"/>
          <w:i/>
        </w:rPr>
        <w:t>Apéndice al Semanario Judicial de la Federación, 1917 – 1988, Segunda Parte, Salas y Tesis Comunes, visible en la pág. 1538.</w:t>
      </w:r>
    </w:p>
    <w:p w:rsidR="00041ACE" w:rsidRPr="005F1192" w:rsidRDefault="00041ACE" w:rsidP="00041ACE">
      <w:pPr>
        <w:jc w:val="both"/>
        <w:rPr>
          <w:rFonts w:ascii="Arial" w:hAnsi="Arial" w:cs="Arial"/>
        </w:rPr>
      </w:pPr>
      <w:r w:rsidRPr="005F119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CUARTO.-</w:t>
      </w:r>
      <w:r w:rsidRPr="005F119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w:t>
      </w:r>
    </w:p>
    <w:p w:rsidR="00041ACE" w:rsidRPr="005F1192" w:rsidRDefault="00041ACE" w:rsidP="00041ACE">
      <w:pPr>
        <w:jc w:val="both"/>
        <w:rPr>
          <w:rFonts w:ascii="Arial" w:hAnsi="Arial" w:cs="Arial"/>
        </w:rPr>
      </w:pPr>
      <w:r w:rsidRPr="005F1192">
        <w:rPr>
          <w:rFonts w:ascii="Arial" w:hAnsi="Arial" w:cs="Arial"/>
        </w:rPr>
        <w:t xml:space="preserve"> “</w:t>
      </w:r>
      <w:r w:rsidRPr="005F1192">
        <w:rPr>
          <w:rFonts w:ascii="Arial" w:hAnsi="Arial" w:cs="Arial"/>
          <w:b/>
          <w:i/>
        </w:rPr>
        <w:t>CONCEPTOS DE VIOLACIÓN, EL JUEZ NO ESTA OBLIGADO A TRANSCRIBIRLOS.-</w:t>
      </w:r>
      <w:r w:rsidRPr="005F119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rPr>
        <w:t>No obstante lo anterior, este Juzgador, estima precisar substancialmente lo que las partes expresaron en sus respectivos escritos, y así tenemos que el demandante señala:</w:t>
      </w:r>
    </w:p>
    <w:p w:rsidR="00041ACE" w:rsidRPr="005F1192" w:rsidRDefault="00041ACE" w:rsidP="00041ACE">
      <w:pPr>
        <w:jc w:val="both"/>
        <w:rPr>
          <w:rFonts w:ascii="Arial" w:hAnsi="Arial" w:cs="Arial"/>
        </w:rPr>
      </w:pPr>
      <w:r w:rsidRPr="005F1192">
        <w:rPr>
          <w:rFonts w:ascii="Arial" w:hAnsi="Arial" w:cs="Arial"/>
        </w:rPr>
        <w:t xml:space="preserve">“PRIMERO.- </w:t>
      </w:r>
    </w:p>
    <w:p w:rsidR="00041ACE" w:rsidRPr="005F1192" w:rsidRDefault="00041ACE" w:rsidP="00041ACE">
      <w:pPr>
        <w:jc w:val="both"/>
        <w:rPr>
          <w:rFonts w:ascii="Arial" w:hAnsi="Arial" w:cs="Arial"/>
        </w:rPr>
      </w:pPr>
      <w:r w:rsidRPr="005F1192">
        <w:rPr>
          <w:rFonts w:ascii="Arial" w:hAnsi="Arial" w:cs="Arial"/>
        </w:rPr>
        <w:t xml:space="preserve">1.- El trámite de regularización fiscal de predios, con fecha de ingreso 7 de octubre del 2020 mediante el cual se me impone un cobro excesivo del impuesto por la cantidad de $10,616.57 (diez mil seiscientos dieciséis pesos 57/100 MN), lo anterior </w:t>
      </w:r>
      <w:r w:rsidRPr="005F1192">
        <w:rPr>
          <w:rFonts w:ascii="Arial" w:hAnsi="Arial" w:cs="Arial"/>
        </w:rPr>
        <w:lastRenderedPageBreak/>
        <w:t>me fue notificado por escrito en fecha 18 de  diciembre del 2020. Me resulta agraviante, en virtud de que según las autoridades demandadas señalan  que tengo un adeudo desde el año 2015 hasta 2020…</w:t>
      </w:r>
    </w:p>
    <w:p w:rsidR="00041ACE" w:rsidRPr="005F1192" w:rsidRDefault="00041ACE" w:rsidP="00041ACE">
      <w:pPr>
        <w:jc w:val="both"/>
        <w:rPr>
          <w:rFonts w:ascii="Arial" w:hAnsi="Arial" w:cs="Arial"/>
        </w:rPr>
      </w:pPr>
      <w:r w:rsidRPr="005F1192">
        <w:rPr>
          <w:rFonts w:ascii="Arial" w:hAnsi="Arial" w:cs="Arial"/>
        </w:rPr>
        <w:t>2.- Asimismo el acto hoy combatido menciona como fundamento el artículo 167 de la Ley de Hacienda para los Municipios del Estado de Guanajuato pretendiendo encuadrar el caso concreto al supuesto señalado en ese precepto, es decir, supone que hay una violación a esa disposición, sin embargo no motiva su acto de autoridad, pues al contrario, de existir tal violación esta parte ha realizado los trámites necesarios para inscribir el inmueble, mismo que cabe hacer mención, la Autoridad Judicial ordenó se firmara la escritura pública a favor de la suscrita en el mes de agosto de 2018 mediante sentencia que se dictó dentro del expediente 511/2018 radicado en el Juzgado Segundo Civil del Partido Judicial de San Luis de la Paz… es decir, a partir del año 2018 la suscrita he realizado diferentes trámites inherentes a la escritura pública entre ellos el inscribirlo en catastro municipal, ergo, si no existía obligación por parte de la suscrita no podemos afirmar que exista una violación a dicha disposición.</w:t>
      </w:r>
    </w:p>
    <w:p w:rsidR="00041ACE" w:rsidRPr="005F1192" w:rsidRDefault="00041ACE" w:rsidP="00041ACE">
      <w:pPr>
        <w:jc w:val="both"/>
        <w:rPr>
          <w:rFonts w:ascii="Arial" w:hAnsi="Arial" w:cs="Arial"/>
        </w:rPr>
      </w:pPr>
      <w:r w:rsidRPr="005F1192">
        <w:rPr>
          <w:rFonts w:ascii="Arial" w:hAnsi="Arial" w:cs="Arial"/>
        </w:rPr>
        <w:t>SEGUNDO.- Como se refiere en la narración de los hechos, atendiendo a la razón de la lógica, es imposible que el inmueble antes descrito generara recargos puestos que el mismo no contaba con cuenta alguna que pudiera generar los mismos.</w:t>
      </w:r>
    </w:p>
    <w:p w:rsidR="00041ACE" w:rsidRPr="005F1192" w:rsidRDefault="00041ACE" w:rsidP="00041ACE">
      <w:pPr>
        <w:jc w:val="both"/>
        <w:rPr>
          <w:rFonts w:ascii="Arial" w:hAnsi="Arial" w:cs="Arial"/>
        </w:rPr>
      </w:pPr>
      <w:r w:rsidRPr="005F1192">
        <w:rPr>
          <w:rFonts w:ascii="Arial" w:hAnsi="Arial" w:cs="Arial"/>
        </w:rPr>
        <w:t xml:space="preserve">Pues suponiendo, sin concederlo, que existiera por parte de la suscrita el artículo 167 de la Ley de Hacienda para los Municipios del Estado de Guanajuato… Del mismo precepto se contempla el cobro del impuesto correspondiente a cinco años a la fecha en que fuera descubierta la infracción, que si bien es </w:t>
      </w:r>
      <w:r>
        <w:rPr>
          <w:rFonts w:ascii="Arial" w:hAnsi="Arial" w:cs="Arial"/>
        </w:rPr>
        <w:t xml:space="preserve">correspondería a la cantidad de </w:t>
      </w:r>
      <w:r w:rsidRPr="005F1192">
        <w:rPr>
          <w:rFonts w:ascii="Arial" w:hAnsi="Arial" w:cs="Arial"/>
        </w:rPr>
        <w:t>$3,748.50 (tres mil setecientos cuarenta y ocho pesos 50/100 MN), dicha cantidad correspondiente a la suma de los cinco años, como lo desglosa la misma autoridad demanda (sic).</w:t>
      </w:r>
    </w:p>
    <w:p w:rsidR="00041ACE" w:rsidRPr="005F1192" w:rsidRDefault="00041ACE" w:rsidP="00041ACE">
      <w:pPr>
        <w:jc w:val="both"/>
        <w:rPr>
          <w:rFonts w:ascii="Arial" w:hAnsi="Arial" w:cs="Arial"/>
        </w:rPr>
      </w:pPr>
      <w:r w:rsidRPr="005F1192">
        <w:rPr>
          <w:rFonts w:ascii="Arial" w:hAnsi="Arial" w:cs="Arial"/>
        </w:rPr>
        <w:t>Sin embargo, y si fuera el caso de generar dicho recargos La Ley de Hacienda para los Municipios del Estado de Guanajuato en su artículo 49 párrafo tercero… Basándose en la misma Ley siendo el caso que nos ocupa la suscrita solicité de forma espontánea, es decir, por mi propia voluntad, la regularización fiscal del predio, y por ende el pago de recargos seria de un año de conformidad con el artículo 49 con relación al artículo 67 fracción IX.</w:t>
      </w:r>
    </w:p>
    <w:p w:rsidR="00041ACE" w:rsidRPr="005F1192" w:rsidRDefault="00041ACE" w:rsidP="00041ACE">
      <w:pPr>
        <w:jc w:val="both"/>
        <w:rPr>
          <w:rFonts w:ascii="Arial" w:hAnsi="Arial" w:cs="Arial"/>
        </w:rPr>
      </w:pPr>
      <w:r w:rsidRPr="005F1192">
        <w:rPr>
          <w:rFonts w:ascii="Arial" w:hAnsi="Arial" w:cs="Arial"/>
        </w:rPr>
        <w:t>Por lo que se afirma que la dependencia en cuestión no fundamenta ni motiva la causa que pudiera generar el cobro excesivo que se me impone, por lo cual deja sin validez legal la actuación que como resultado afecta a mis intereses propios; dejando de observar el artículo 16 de Nuestra Carta Magna que señala que todo acto de autoridad debe estar debidamente fundado y motivado.”</w:t>
      </w:r>
    </w:p>
    <w:p w:rsidR="00041ACE" w:rsidRPr="005F1192" w:rsidRDefault="00041ACE" w:rsidP="00041ACE">
      <w:pPr>
        <w:jc w:val="both"/>
        <w:rPr>
          <w:rFonts w:ascii="Arial" w:hAnsi="Arial" w:cs="Arial"/>
        </w:rPr>
      </w:pPr>
      <w:r w:rsidRPr="005F1192">
        <w:rPr>
          <w:rFonts w:ascii="Arial" w:hAnsi="Arial" w:cs="Arial"/>
        </w:rPr>
        <w:t xml:space="preserve">Por su parte la demandada manifestó lo siguiente: </w:t>
      </w:r>
    </w:p>
    <w:p w:rsidR="00041ACE" w:rsidRPr="005F1192" w:rsidRDefault="00041ACE" w:rsidP="00041ACE">
      <w:pPr>
        <w:jc w:val="both"/>
        <w:rPr>
          <w:rFonts w:ascii="Arial" w:hAnsi="Arial" w:cs="Arial"/>
        </w:rPr>
      </w:pPr>
      <w:r w:rsidRPr="005F1192">
        <w:rPr>
          <w:rFonts w:ascii="Arial" w:hAnsi="Arial" w:cs="Arial"/>
        </w:rPr>
        <w:lastRenderedPageBreak/>
        <w:t xml:space="preserve">“PRIMERO.- Es infundado el agravio expuesto por la actora, toda vez que el acto impugnado re (sic) reúne todos los requisito (sic) de validez previsto por del (sic) artículo 137 del Código de Procedimiento y Justicia Administrativa vigente en el Estado, esto en razón de que la propia actora en el presente juicio, </w:t>
      </w:r>
      <w:proofErr w:type="spellStart"/>
      <w:r w:rsidRPr="005F1192">
        <w:rPr>
          <w:rFonts w:ascii="Arial" w:hAnsi="Arial" w:cs="Arial"/>
        </w:rPr>
        <w:t>confieza</w:t>
      </w:r>
      <w:proofErr w:type="spellEnd"/>
      <w:r w:rsidRPr="005F1192">
        <w:rPr>
          <w:rFonts w:ascii="Arial" w:hAnsi="Arial" w:cs="Arial"/>
        </w:rPr>
        <w:t xml:space="preserve"> (sic) que le fue notificado por escrito en fecha 18 de diciembre de 2020 mediante oficio 1195/2020 debidamente fundamentado y debidamente desglosado señalando el total del importe adeudado, como lo acredito con el respectivo oficio que acompañó la actora </w:t>
      </w:r>
      <w:r>
        <w:rPr>
          <w:rFonts w:ascii="Arial" w:hAnsi="Arial" w:cs="Arial"/>
        </w:rPr>
        <w:t xml:space="preserve">** </w:t>
      </w:r>
      <w:r w:rsidRPr="005F1192">
        <w:rPr>
          <w:rFonts w:ascii="Arial" w:hAnsi="Arial" w:cs="Arial"/>
        </w:rPr>
        <w:t xml:space="preserve">a su escrito de </w:t>
      </w:r>
      <w:proofErr w:type="spellStart"/>
      <w:r w:rsidRPr="005F1192">
        <w:rPr>
          <w:rFonts w:ascii="Arial" w:hAnsi="Arial" w:cs="Arial"/>
        </w:rPr>
        <w:t>demnda</w:t>
      </w:r>
      <w:proofErr w:type="spellEnd"/>
      <w:r w:rsidRPr="005F1192">
        <w:rPr>
          <w:rFonts w:ascii="Arial" w:hAnsi="Arial" w:cs="Arial"/>
        </w:rPr>
        <w:t xml:space="preserve"> (sic) y que hago </w:t>
      </w:r>
      <w:proofErr w:type="spellStart"/>
      <w:r w:rsidRPr="005F1192">
        <w:rPr>
          <w:rFonts w:ascii="Arial" w:hAnsi="Arial" w:cs="Arial"/>
        </w:rPr>
        <w:t>mio</w:t>
      </w:r>
      <w:proofErr w:type="spellEnd"/>
      <w:r w:rsidRPr="005F1192">
        <w:rPr>
          <w:rFonts w:ascii="Arial" w:hAnsi="Arial" w:cs="Arial"/>
        </w:rPr>
        <w:t xml:space="preserve"> (sic) como prueba documental de mi parte y que en su momento sea tomada en consideración.</w:t>
      </w:r>
    </w:p>
    <w:p w:rsidR="00041ACE" w:rsidRPr="005F1192" w:rsidRDefault="00041ACE" w:rsidP="00041ACE">
      <w:pPr>
        <w:jc w:val="both"/>
        <w:rPr>
          <w:rFonts w:ascii="Arial" w:hAnsi="Arial" w:cs="Arial"/>
        </w:rPr>
      </w:pPr>
      <w:r w:rsidRPr="005F1192">
        <w:rPr>
          <w:rFonts w:ascii="Arial" w:hAnsi="Arial" w:cs="Arial"/>
        </w:rPr>
        <w:t xml:space="preserve">SEGUNDO.- Es infundado e inoperante  el agravio expuesto por la parte actora, ya que es del conocimiento de la propia actora confiesa </w:t>
      </w:r>
      <w:proofErr w:type="spellStart"/>
      <w:r w:rsidRPr="005F1192">
        <w:rPr>
          <w:rFonts w:ascii="Arial" w:hAnsi="Arial" w:cs="Arial"/>
        </w:rPr>
        <w:t>concer</w:t>
      </w:r>
      <w:proofErr w:type="spellEnd"/>
      <w:r w:rsidRPr="005F1192">
        <w:rPr>
          <w:rFonts w:ascii="Arial" w:hAnsi="Arial" w:cs="Arial"/>
        </w:rPr>
        <w:t xml:space="preserve"> (sic) el </w:t>
      </w:r>
      <w:proofErr w:type="spellStart"/>
      <w:r w:rsidRPr="005F1192">
        <w:rPr>
          <w:rFonts w:ascii="Arial" w:hAnsi="Arial" w:cs="Arial"/>
        </w:rPr>
        <w:t>contennido</w:t>
      </w:r>
      <w:proofErr w:type="spellEnd"/>
      <w:r w:rsidRPr="005F1192">
        <w:rPr>
          <w:rFonts w:ascii="Arial" w:hAnsi="Arial" w:cs="Arial"/>
        </w:rPr>
        <w:t xml:space="preserve"> (sic) del artículo 167 de la Ley de Hacienda para los Municipios del Estado de Guanajuato, y el acto impugnado se encuentra debidamente motivado con el contenido del artículo invocado, pues el hecho de que la autoridad judicial haya ordenado la firma de escritura a favor de la actora en el mes de agosto de 2018 dentro del expediente 511/2018 del Juzgado Segundo Civil de Partido, eso no implica que deba de contabilizarse el término de 5 años contemplados por el artículo 167 de la Ley invocada, a partir de la resolución emitida por la autoridad judicial, ahora bien cuando la Ley de Hacienda invocada no contemple disposición legal aplicable al caso concreto, se aplicará de forma supletoria el Código Fiscal para el Estado de Guanajuato, que en sus artículos 4 fracción I, 36 y 38 del </w:t>
      </w:r>
      <w:r w:rsidRPr="005F1192">
        <w:rPr>
          <w:rFonts w:ascii="Arial" w:hAnsi="Arial" w:cs="Arial"/>
          <w:b/>
        </w:rPr>
        <w:t>Código Fiscal para el Estado de Guanajuato su están contemplados los recargos</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QUINTO.-</w:t>
      </w:r>
      <w:r w:rsidRPr="005F119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41ACE" w:rsidRPr="005F1192" w:rsidRDefault="00041ACE" w:rsidP="00041ACE">
      <w:pPr>
        <w:jc w:val="both"/>
        <w:rPr>
          <w:rFonts w:ascii="Arial" w:hAnsi="Arial" w:cs="Arial"/>
        </w:rPr>
      </w:pPr>
      <w:r w:rsidRPr="005F1192">
        <w:rPr>
          <w:rFonts w:ascii="Arial" w:hAnsi="Arial" w:cs="Arial"/>
        </w:rPr>
        <w:t xml:space="preserve">La fracción VIII del artículo 137  del Código  que regula la presente materia,  señala  que todo acto administrativo debe ser expedido de conformidad con las formalidades del procedimiento administrativo que establecen los ordenamientos jurídicos aplicables,  lo que no se surtió  en la especie, ergo, el incremento del impuesto predial del bien inmueble propiedad del actor fue  sin respetar ni acatar las disposiciones legales que se establecen en la Ley de Hacienda para los Municipios del Estado de Guanajuato, específicamente el artículo 167 de la Ley citada, que establece: </w:t>
      </w:r>
    </w:p>
    <w:p w:rsidR="00041ACE" w:rsidRDefault="00041ACE" w:rsidP="00041ACE">
      <w:pPr>
        <w:jc w:val="both"/>
        <w:rPr>
          <w:rFonts w:ascii="Arial" w:hAnsi="Arial" w:cs="Arial"/>
          <w:i/>
        </w:rPr>
      </w:pPr>
    </w:p>
    <w:p w:rsidR="00041ACE" w:rsidRDefault="00041ACE" w:rsidP="00041ACE">
      <w:pPr>
        <w:jc w:val="both"/>
        <w:rPr>
          <w:rFonts w:ascii="Arial" w:hAnsi="Arial" w:cs="Arial"/>
          <w:i/>
        </w:rPr>
      </w:pPr>
    </w:p>
    <w:p w:rsidR="00041ACE" w:rsidRDefault="00041ACE" w:rsidP="00041ACE">
      <w:pPr>
        <w:jc w:val="both"/>
        <w:rPr>
          <w:rFonts w:ascii="Arial" w:hAnsi="Arial" w:cs="Arial"/>
          <w:i/>
        </w:rPr>
      </w:pPr>
    </w:p>
    <w:p w:rsidR="00041ACE" w:rsidRDefault="00041ACE" w:rsidP="00041ACE">
      <w:pPr>
        <w:jc w:val="both"/>
        <w:rPr>
          <w:rFonts w:ascii="Arial" w:hAnsi="Arial" w:cs="Arial"/>
          <w:i/>
        </w:rPr>
      </w:pPr>
    </w:p>
    <w:p w:rsidR="00041ACE" w:rsidRPr="000B1549" w:rsidRDefault="00041ACE" w:rsidP="00041ACE">
      <w:pPr>
        <w:jc w:val="both"/>
        <w:rPr>
          <w:rFonts w:ascii="Arial" w:hAnsi="Arial" w:cs="Arial"/>
          <w:i/>
        </w:rPr>
      </w:pPr>
      <w:r w:rsidRPr="005F1192">
        <w:rPr>
          <w:rFonts w:ascii="Arial" w:hAnsi="Arial" w:cs="Arial"/>
          <w:i/>
        </w:rPr>
        <w:lastRenderedPageBreak/>
        <w:t>Artículo167. Todo inmueble deberá estar inscrito en el catastro municipal. La violación de esta disposición, motivará que además de la aplicación de las sanciones que autoriza esta Ley, se haga el cobro del importe del impuesto correspondiente a cinco años fiscales anteriores a la fecha en que fuere descubierta la infracción.</w:t>
      </w:r>
    </w:p>
    <w:p w:rsidR="00041ACE" w:rsidRPr="005F1192" w:rsidRDefault="00041ACE" w:rsidP="00041ACE">
      <w:pPr>
        <w:jc w:val="both"/>
        <w:rPr>
          <w:rFonts w:ascii="Arial" w:hAnsi="Arial" w:cs="Arial"/>
        </w:rPr>
      </w:pPr>
      <w:r w:rsidRPr="005F1192">
        <w:rPr>
          <w:rFonts w:ascii="Arial" w:hAnsi="Arial" w:cs="Arial"/>
        </w:rPr>
        <w:t>Es evidente que al actor se le dejó en estado de indefensión, toda vez que la recurrida  no  especificó cuál ordenamiento jurídico establece  los recargos que están implícitos en el oficio 1195/2020, de fecha 18 dieciocho de diciembre de 2020 dos mil veinte.</w:t>
      </w:r>
    </w:p>
    <w:p w:rsidR="00041ACE" w:rsidRPr="005F1192" w:rsidRDefault="00041ACE" w:rsidP="00041ACE">
      <w:pPr>
        <w:jc w:val="both"/>
        <w:rPr>
          <w:rFonts w:ascii="Arial" w:hAnsi="Arial" w:cs="Arial"/>
        </w:rPr>
      </w:pPr>
      <w:r w:rsidRPr="005F1192">
        <w:rPr>
          <w:rFonts w:ascii="Arial" w:hAnsi="Arial" w:cs="Arial"/>
        </w:rPr>
        <w:t>La recurrida   hizo caso omiso al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041ACE" w:rsidRPr="005F1192" w:rsidRDefault="00041ACE" w:rsidP="00041ACE">
      <w:pPr>
        <w:jc w:val="both"/>
        <w:rPr>
          <w:rFonts w:ascii="Arial" w:hAnsi="Arial" w:cs="Arial"/>
        </w:rPr>
      </w:pPr>
      <w:r w:rsidRPr="005F1192">
        <w:rPr>
          <w:rFonts w:ascii="Arial" w:hAnsi="Arial" w:cs="Arial"/>
        </w:rPr>
        <w:t>“</w:t>
      </w:r>
      <w:r w:rsidRPr="005F1192">
        <w:rPr>
          <w:rFonts w:ascii="Arial" w:hAnsi="Arial" w:cs="Arial"/>
          <w:b/>
        </w:rPr>
        <w:t>FUNDAMENTACIÓN Y MOTIVACIÓN.-</w:t>
      </w:r>
      <w:r w:rsidRPr="005F1192">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41ACE" w:rsidRPr="005F1192" w:rsidRDefault="00041ACE" w:rsidP="00041ACE">
      <w:pPr>
        <w:jc w:val="both"/>
        <w:rPr>
          <w:rFonts w:ascii="Arial" w:hAnsi="Arial" w:cs="Arial"/>
        </w:rPr>
      </w:pPr>
      <w:r w:rsidRPr="005F1192">
        <w:rPr>
          <w:rFonts w:ascii="Arial" w:hAnsi="Arial" w:cs="Arial"/>
        </w:rPr>
        <w:t>“</w:t>
      </w:r>
      <w:r w:rsidRPr="005F1192">
        <w:rPr>
          <w:rFonts w:ascii="Arial" w:hAnsi="Arial" w:cs="Arial"/>
          <w:b/>
        </w:rPr>
        <w:t>FUNDAMENTACIÓN Y MOTIVACIÓN DE LOS ACTOS ADMINISTRATIVOS.-</w:t>
      </w:r>
      <w:r w:rsidRPr="005F1192">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w:t>
      </w:r>
      <w:r w:rsidRPr="005F1192">
        <w:rPr>
          <w:rFonts w:ascii="Arial" w:hAnsi="Arial" w:cs="Arial"/>
          <w:b/>
        </w:rPr>
        <w:t xml:space="preserve"> </w:t>
      </w:r>
      <w:r w:rsidRPr="005F1192">
        <w:rPr>
          <w:rFonts w:ascii="Arial" w:hAnsi="Arial" w:cs="Arial"/>
        </w:rPr>
        <w:t xml:space="preserve">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F1192">
        <w:rPr>
          <w:rFonts w:ascii="Arial" w:hAnsi="Arial" w:cs="Arial"/>
        </w:rPr>
        <w:t>subincisos</w:t>
      </w:r>
      <w:proofErr w:type="spellEnd"/>
      <w:r w:rsidRPr="005F1192">
        <w:rPr>
          <w:rFonts w:ascii="Arial" w:hAnsi="Arial" w:cs="Arial"/>
        </w:rPr>
        <w:t xml:space="preserve">, fracciones y preceptos aplicables, y b).- los cuerpos legales, y preceptos que otorgan competencia o facultades a las autoridades para emitir el acto en agravio del gobernado.” </w:t>
      </w:r>
    </w:p>
    <w:p w:rsidR="00041ACE" w:rsidRPr="005F1192" w:rsidRDefault="00041ACE" w:rsidP="00041ACE">
      <w:pPr>
        <w:jc w:val="both"/>
        <w:rPr>
          <w:rFonts w:ascii="Arial" w:hAnsi="Arial" w:cs="Arial"/>
        </w:rPr>
      </w:pPr>
      <w:r w:rsidRPr="005F1192">
        <w:rPr>
          <w:rFonts w:ascii="Arial" w:hAnsi="Arial" w:cs="Arial"/>
        </w:rPr>
        <w:lastRenderedPageBreak/>
        <w:t>Segundo Tribunal Colegiado del Sexto Circuito, publicado en el Semanario Judicial de la Federación y su Gaceta, Tomo 64, abril de 1993, Tesis VI.2º .J/284, página 43 que a la letra dice:</w:t>
      </w:r>
    </w:p>
    <w:p w:rsidR="00041ACE" w:rsidRPr="005F1192" w:rsidRDefault="00041ACE" w:rsidP="00041ACE">
      <w:pPr>
        <w:jc w:val="both"/>
        <w:rPr>
          <w:rFonts w:ascii="Arial" w:hAnsi="Arial" w:cs="Arial"/>
        </w:rPr>
      </w:pPr>
      <w:r w:rsidRPr="005F1192">
        <w:rPr>
          <w:rFonts w:ascii="Arial" w:hAnsi="Arial" w:cs="Arial"/>
        </w:rPr>
        <w:t>“</w:t>
      </w:r>
      <w:r w:rsidRPr="005F1192">
        <w:rPr>
          <w:rFonts w:ascii="Arial" w:hAnsi="Arial" w:cs="Arial"/>
          <w:b/>
        </w:rPr>
        <w:t>FUNDAMENTACIÓN Y MOTIVACIÓN.</w:t>
      </w:r>
      <w:r w:rsidRPr="005F1192">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41ACE" w:rsidRDefault="00041ACE" w:rsidP="00041ACE">
      <w:pPr>
        <w:jc w:val="both"/>
        <w:rPr>
          <w:rFonts w:ascii="Arial" w:hAnsi="Arial" w:cs="Arial"/>
        </w:rPr>
      </w:pPr>
      <w:r w:rsidRPr="005F1192">
        <w:rPr>
          <w:rFonts w:ascii="Arial" w:hAnsi="Arial" w:cs="Arial"/>
        </w:rPr>
        <w:t xml:space="preserve">Segundo Tribunal Colegiado del Sexto Circuito, visible en el Semanario Judicial de la Federación, Tomo IV, Segunda Parte - 2, página 622, Tesis No. VI. 2º. J/31. </w:t>
      </w:r>
    </w:p>
    <w:p w:rsidR="00041ACE" w:rsidRPr="005F1192" w:rsidRDefault="00041ACE" w:rsidP="00041ACE">
      <w:pPr>
        <w:jc w:val="both"/>
        <w:rPr>
          <w:rFonts w:ascii="Arial" w:hAnsi="Arial" w:cs="Arial"/>
        </w:rPr>
      </w:pPr>
      <w:r w:rsidRPr="005F1192">
        <w:rPr>
          <w:rFonts w:ascii="Arial" w:hAnsi="Arial" w:cs="Arial"/>
        </w:rPr>
        <w:t>“</w:t>
      </w:r>
      <w:r w:rsidRPr="005F1192">
        <w:rPr>
          <w:rFonts w:ascii="Arial" w:hAnsi="Arial" w:cs="Arial"/>
          <w:b/>
        </w:rPr>
        <w:t>AUTORIDADES. FUNDAMENTACIÓN DE SUS ACTOS.-</w:t>
      </w:r>
      <w:r w:rsidRPr="005F1192">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41ACE" w:rsidRPr="005F1192" w:rsidRDefault="00041ACE" w:rsidP="00041ACE">
      <w:pPr>
        <w:jc w:val="both"/>
        <w:rPr>
          <w:rFonts w:ascii="Arial" w:hAnsi="Arial" w:cs="Arial"/>
        </w:rPr>
      </w:pPr>
      <w:r w:rsidRPr="005F1192">
        <w:rPr>
          <w:rFonts w:ascii="Arial" w:hAnsi="Arial" w:cs="Arial"/>
        </w:rPr>
        <w:t xml:space="preserve"> “</w:t>
      </w:r>
      <w:r w:rsidRPr="005F1192">
        <w:rPr>
          <w:rFonts w:ascii="Arial" w:hAnsi="Arial" w:cs="Arial"/>
          <w:b/>
        </w:rPr>
        <w:t>FUNDAMENTACIÓN Y MOTIVACIÓN, FALTA O INDEBIDA. EN CUANTO SON DISTINTAS, UNAS GENERAN NULIDAD LISA Y LLANA Y OTRAS PARA EFECTO.-</w:t>
      </w:r>
      <w:r w:rsidRPr="005F1192">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F1192">
        <w:rPr>
          <w:rFonts w:ascii="Arial" w:hAnsi="Arial" w:cs="Arial"/>
        </w:rPr>
        <w:t>dan</w:t>
      </w:r>
      <w:proofErr w:type="gramEnd"/>
      <w:r w:rsidRPr="005F1192">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w:t>
      </w:r>
      <w:r w:rsidRPr="005F1192">
        <w:rPr>
          <w:rFonts w:ascii="Arial" w:hAnsi="Arial" w:cs="Arial"/>
        </w:rPr>
        <w:lastRenderedPageBreak/>
        <w:t>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41ACE" w:rsidRPr="00041ACE" w:rsidRDefault="00041ACE" w:rsidP="00041ACE">
      <w:pPr>
        <w:jc w:val="both"/>
        <w:rPr>
          <w:rFonts w:ascii="Arial" w:hAnsi="Arial" w:cs="Arial"/>
        </w:rPr>
      </w:pPr>
      <w:r w:rsidRPr="005F119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r w:rsidRPr="005F1192">
        <w:rPr>
          <w:rFonts w:ascii="Arial" w:eastAsia="Times New Roman" w:hAnsi="Arial" w:cs="Arial"/>
          <w:b/>
          <w:color w:val="000000"/>
        </w:rPr>
        <w:t xml:space="preserve">“FUNDAMENTACIÓN Y MOTIVACIÓN. DEBEN CONSTAR EN EL CUERPO DE LA RESOLUCIÓN Y NO EN DOCUMENTO DISTINTO. </w:t>
      </w:r>
      <w:r w:rsidRPr="005F1192">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41ACE" w:rsidRPr="005F1192" w:rsidRDefault="00041ACE" w:rsidP="00041ACE">
      <w:pPr>
        <w:jc w:val="both"/>
        <w:rPr>
          <w:rFonts w:ascii="Arial" w:hAnsi="Arial" w:cs="Arial"/>
        </w:rPr>
      </w:pPr>
      <w:r w:rsidRPr="005F1192">
        <w:rPr>
          <w:rFonts w:ascii="Arial" w:hAnsi="Arial" w:cs="Arial"/>
        </w:rPr>
        <w:t>Este juzgador, no pasa por alto que la recurrida, al contestar la  demandada de este proceso,  manifestó lo siguiente:</w:t>
      </w:r>
    </w:p>
    <w:p w:rsidR="00041ACE" w:rsidRPr="000B1549" w:rsidRDefault="00041ACE" w:rsidP="00041ACE">
      <w:pPr>
        <w:jc w:val="both"/>
        <w:rPr>
          <w:rFonts w:ascii="Arial" w:hAnsi="Arial" w:cs="Arial"/>
          <w:b/>
        </w:rPr>
      </w:pPr>
      <w:r w:rsidRPr="005F1192">
        <w:rPr>
          <w:rFonts w:ascii="Arial" w:hAnsi="Arial" w:cs="Arial"/>
        </w:rPr>
        <w:t xml:space="preserve">“…cuando la Ley de Hacienda invocada no contemple disposición legal aplicable al caso concreto, se aplicará de forma supletoria el Código Fiscal para el Estado de Guanajuato, que en sus artículos 4 fracción I, 36 y 38 del </w:t>
      </w:r>
      <w:r w:rsidRPr="005F1192">
        <w:rPr>
          <w:rFonts w:ascii="Arial" w:hAnsi="Arial" w:cs="Arial"/>
          <w:b/>
        </w:rPr>
        <w:t>Código Fiscal para el Estado de Guanajuato su están contemplados los recargos</w:t>
      </w:r>
      <w:r w:rsidRPr="005F1192">
        <w:rPr>
          <w:rFonts w:ascii="Arial" w:hAnsi="Arial" w:cs="Arial"/>
        </w:rPr>
        <w:t>.”</w:t>
      </w:r>
    </w:p>
    <w:p w:rsidR="00041ACE" w:rsidRPr="005F1192" w:rsidRDefault="00041ACE" w:rsidP="00041ACE">
      <w:pPr>
        <w:jc w:val="both"/>
        <w:rPr>
          <w:rFonts w:ascii="Arial" w:eastAsia="Times New Roman" w:hAnsi="Arial" w:cs="Arial"/>
          <w:lang w:eastAsia="es-ES"/>
        </w:rPr>
      </w:pPr>
      <w:r w:rsidRPr="005F1192">
        <w:rPr>
          <w:rFonts w:ascii="Arial" w:hAnsi="Arial" w:cs="Arial"/>
        </w:rPr>
        <w:t xml:space="preserve">Es de explorado derecho  que la supletoriedad </w:t>
      </w:r>
      <w:r w:rsidRPr="005F1192">
        <w:rPr>
          <w:rFonts w:ascii="Arial" w:eastAsia="Times New Roman" w:hAnsi="Arial" w:cs="Arial"/>
          <w:lang w:eastAsia="es-ES"/>
        </w:rPr>
        <w:t xml:space="preserve">de las normas opera cuando existiendo una figura jurídica en un ordenamiento legal, ésta no se encuentra regulada en forma </w:t>
      </w:r>
      <w:r w:rsidRPr="005F1192">
        <w:rPr>
          <w:rFonts w:ascii="Arial" w:eastAsia="Times New Roman" w:hAnsi="Arial" w:cs="Arial"/>
          <w:lang w:eastAsia="es-ES"/>
        </w:rPr>
        <w:lastRenderedPageBreak/>
        <w:t xml:space="preserve">clara y precisa, sino que es necesario acudir a otro cuerpo de leyes para determinar sus particularidades. </w:t>
      </w:r>
    </w:p>
    <w:p w:rsidR="00041ACE" w:rsidRPr="005F1192" w:rsidRDefault="00041ACE" w:rsidP="00041ACE">
      <w:pPr>
        <w:jc w:val="both"/>
        <w:rPr>
          <w:rFonts w:ascii="Arial" w:eastAsia="Times New Roman" w:hAnsi="Arial" w:cs="Arial"/>
          <w:lang w:eastAsia="es-ES"/>
        </w:rPr>
      </w:pPr>
      <w:r w:rsidRPr="005F1192">
        <w:rPr>
          <w:rFonts w:ascii="Arial" w:eastAsia="Times New Roman" w:hAnsi="Arial" w:cs="Arial"/>
          <w:lang w:eastAsia="es-ES"/>
        </w:rPr>
        <w:t xml:space="preserve">Asimismo, la supletoriedad de leyes aplica sólo para integrar una omisión en la Ley o para interpretar sus disposiciones en forma que se integre con principios generales contenidos en otras leyes; cuando la referencia de una Ley a otra es expresa, debe entenderse que la aplicación de la supletoria se hará en los supuestos no contemplados por la primera Ley que la complementará ante posibles omisiones o para la interpretación de sus disposiciones. </w:t>
      </w:r>
    </w:p>
    <w:p w:rsidR="00041ACE" w:rsidRPr="005F1192" w:rsidRDefault="00041ACE" w:rsidP="00041ACE">
      <w:pPr>
        <w:jc w:val="both"/>
        <w:rPr>
          <w:rFonts w:ascii="Arial" w:eastAsia="Times New Roman" w:hAnsi="Arial" w:cs="Arial"/>
          <w:lang w:eastAsia="es-ES"/>
        </w:rPr>
      </w:pPr>
      <w:r w:rsidRPr="005F1192">
        <w:rPr>
          <w:rFonts w:ascii="Arial" w:eastAsia="Times New Roman" w:hAnsi="Arial" w:cs="Arial"/>
          <w:lang w:eastAsia="es-ES"/>
        </w:rPr>
        <w:t>Por ello, la referencia a leyes supletorias es la determinación de las fuentes a las cuales una Ley acudirá para deducir sus principios y subsanar sus omisiones.</w:t>
      </w:r>
    </w:p>
    <w:p w:rsidR="00041ACE" w:rsidRPr="005F1192" w:rsidRDefault="00041ACE" w:rsidP="00041ACE">
      <w:pPr>
        <w:jc w:val="both"/>
        <w:rPr>
          <w:rFonts w:ascii="Arial" w:eastAsia="Times New Roman" w:hAnsi="Arial" w:cs="Arial"/>
          <w:lang w:eastAsia="es-ES"/>
        </w:rPr>
      </w:pPr>
      <w:r w:rsidRPr="005F1192">
        <w:rPr>
          <w:rFonts w:ascii="Arial" w:eastAsia="Times New Roman" w:hAnsi="Arial" w:cs="Arial"/>
          <w:lang w:eastAsia="es-ES"/>
        </w:rPr>
        <w:t xml:space="preserve">La  supletoriedad expresa debe considerarse en los términos que la legislación lo establece; de esta manera, la supletoriedad en la legislación es una cuestión de aplicación para dar debida coherencia al sistema jurídico. </w:t>
      </w:r>
    </w:p>
    <w:p w:rsidR="00041ACE" w:rsidRPr="005F1192" w:rsidRDefault="00041ACE" w:rsidP="00041ACE">
      <w:pPr>
        <w:jc w:val="both"/>
        <w:rPr>
          <w:rFonts w:ascii="Arial" w:eastAsia="Times New Roman" w:hAnsi="Arial" w:cs="Arial"/>
          <w:lang w:eastAsia="es-ES"/>
        </w:rPr>
      </w:pPr>
      <w:r w:rsidRPr="005F1192">
        <w:rPr>
          <w:rFonts w:ascii="Arial" w:eastAsia="Times New Roman" w:hAnsi="Arial" w:cs="Arial"/>
          <w:lang w:eastAsia="es-ES"/>
        </w:rPr>
        <w:t xml:space="preserve">El mecanismo de supletoriedad se observa generalmente de leyes de contenido especializados con relación a leyes de contenido general. </w:t>
      </w:r>
    </w:p>
    <w:p w:rsidR="00041ACE" w:rsidRPr="000B1549" w:rsidRDefault="00041ACE" w:rsidP="00041ACE">
      <w:pPr>
        <w:jc w:val="both"/>
        <w:rPr>
          <w:rFonts w:ascii="Arial" w:eastAsia="Times New Roman" w:hAnsi="Arial" w:cs="Arial"/>
          <w:lang w:eastAsia="es-ES"/>
        </w:rPr>
      </w:pPr>
      <w:r w:rsidRPr="005F1192">
        <w:rPr>
          <w:rFonts w:ascii="Arial" w:eastAsia="Times New Roman" w:hAnsi="Arial" w:cs="Arial"/>
          <w:lang w:eastAsia="es-ES"/>
        </w:rPr>
        <w:t>El carácter supletorio de la Ley resulta, en consecuencia, una integración, y reenvío de una Ley especializada a otros textos legislativos generales que fijen los principios aplicables a la regulación de la Ley suplida; lo que implica un principio de economía e integración legislativas para evitar la reiteración de tales principios por una parte, así como la posibilidad de consagración de los preceptos especiales en la Ley suplida.</w:t>
      </w:r>
    </w:p>
    <w:p w:rsidR="00041ACE" w:rsidRPr="005F1192" w:rsidRDefault="00041ACE" w:rsidP="00041ACE">
      <w:pPr>
        <w:spacing w:before="100" w:beforeAutospacing="1" w:after="100" w:afterAutospacing="1" w:line="240" w:lineRule="auto"/>
        <w:jc w:val="both"/>
        <w:rPr>
          <w:rFonts w:ascii="Arial" w:eastAsia="Times New Roman" w:hAnsi="Arial" w:cs="Arial"/>
          <w:lang w:eastAsia="es-ES"/>
        </w:rPr>
      </w:pPr>
      <w:r w:rsidRPr="005F1192">
        <w:rPr>
          <w:rFonts w:ascii="Arial" w:eastAsia="Times New Roman" w:hAnsi="Arial" w:cs="Arial"/>
          <w:lang w:eastAsia="es-ES"/>
        </w:rPr>
        <w:t xml:space="preserve">Cabe señalar que para que opere la supletoriedad de la Ley, se deben cumplir ciertos requisitos necesarios para que exista esta figura jurídica, como son: </w:t>
      </w:r>
    </w:p>
    <w:p w:rsidR="00041ACE" w:rsidRPr="005F1192" w:rsidRDefault="00041ACE" w:rsidP="00041ACE">
      <w:pPr>
        <w:spacing w:before="100" w:beforeAutospacing="1" w:after="100" w:afterAutospacing="1" w:line="240" w:lineRule="auto"/>
        <w:jc w:val="both"/>
        <w:rPr>
          <w:rFonts w:ascii="Arial" w:eastAsia="Times New Roman" w:hAnsi="Arial" w:cs="Arial"/>
          <w:b/>
          <w:bCs/>
          <w:lang w:eastAsia="es-ES"/>
        </w:rPr>
      </w:pPr>
      <w:r w:rsidRPr="005F1192">
        <w:rPr>
          <w:rFonts w:ascii="Arial" w:eastAsia="Times New Roman" w:hAnsi="Arial" w:cs="Arial"/>
          <w:b/>
          <w:bCs/>
          <w:lang w:eastAsia="es-ES"/>
        </w:rPr>
        <w:t>Primero</w:t>
      </w:r>
      <w:r w:rsidRPr="005F1192">
        <w:rPr>
          <w:rFonts w:ascii="Arial" w:eastAsia="Times New Roman" w:hAnsi="Arial" w:cs="Arial"/>
          <w:lang w:eastAsia="es-ES"/>
        </w:rPr>
        <w:t>: Que el ordenamiento que se pretenda suplir lo admita expresamente, y señale el estatuto supletorio;</w:t>
      </w:r>
      <w:r w:rsidRPr="005F1192">
        <w:rPr>
          <w:rFonts w:ascii="Arial" w:eastAsia="Times New Roman" w:hAnsi="Arial" w:cs="Arial"/>
          <w:b/>
          <w:bCs/>
          <w:lang w:eastAsia="es-ES"/>
        </w:rPr>
        <w:t xml:space="preserve"> </w:t>
      </w:r>
    </w:p>
    <w:p w:rsidR="00041ACE" w:rsidRDefault="00041ACE" w:rsidP="00041ACE">
      <w:pPr>
        <w:spacing w:before="100" w:beforeAutospacing="1" w:after="100" w:afterAutospacing="1" w:line="240" w:lineRule="auto"/>
        <w:jc w:val="both"/>
        <w:rPr>
          <w:rFonts w:ascii="Arial" w:eastAsia="Times New Roman" w:hAnsi="Arial" w:cs="Arial"/>
          <w:lang w:eastAsia="es-ES"/>
        </w:rPr>
      </w:pPr>
      <w:r w:rsidRPr="005F1192">
        <w:rPr>
          <w:rFonts w:ascii="Arial" w:eastAsia="Times New Roman" w:hAnsi="Arial" w:cs="Arial"/>
          <w:b/>
          <w:bCs/>
          <w:lang w:eastAsia="es-ES"/>
        </w:rPr>
        <w:t>Segundo:</w:t>
      </w:r>
      <w:r w:rsidRPr="005F1192">
        <w:rPr>
          <w:rFonts w:ascii="Arial" w:eastAsia="Times New Roman" w:hAnsi="Arial" w:cs="Arial"/>
          <w:lang w:eastAsia="es-ES"/>
        </w:rPr>
        <w:t xml:space="preserve"> Que el ordenamiento objeto de supletoriedad prevea la institución jurídica de que se trate; </w:t>
      </w:r>
    </w:p>
    <w:p w:rsidR="00041ACE" w:rsidRDefault="00041ACE" w:rsidP="00041ACE">
      <w:pPr>
        <w:spacing w:before="100" w:beforeAutospacing="1" w:after="100" w:afterAutospacing="1" w:line="240" w:lineRule="auto"/>
        <w:jc w:val="both"/>
        <w:rPr>
          <w:rFonts w:ascii="Arial" w:eastAsia="Times New Roman" w:hAnsi="Arial" w:cs="Arial"/>
          <w:lang w:eastAsia="es-ES"/>
        </w:rPr>
      </w:pPr>
      <w:r w:rsidRPr="005F1192">
        <w:rPr>
          <w:rFonts w:ascii="Arial" w:eastAsia="Times New Roman" w:hAnsi="Arial" w:cs="Arial"/>
          <w:b/>
          <w:bCs/>
          <w:lang w:eastAsia="es-ES"/>
        </w:rPr>
        <w:t>Tercero</w:t>
      </w:r>
      <w:r w:rsidRPr="005F1192">
        <w:rPr>
          <w:rFonts w:ascii="Arial" w:eastAsia="Times New Roman" w:hAnsi="Arial" w:cs="Arial"/>
          <w:lang w:eastAsia="es-ES"/>
        </w:rPr>
        <w:t xml:space="preserve">: Que no obstante esa previsión, las normas existentes en tal cuerpo jurídico sean insuficientes para su aplicación a la situación concreta presentada, por carencia total o parcial de la reglamentación necesaria; y </w:t>
      </w:r>
    </w:p>
    <w:p w:rsidR="00041ACE" w:rsidRPr="005F1192" w:rsidRDefault="00041ACE" w:rsidP="00041ACE">
      <w:pPr>
        <w:spacing w:before="100" w:beforeAutospacing="1" w:after="100" w:afterAutospacing="1" w:line="240" w:lineRule="auto"/>
        <w:jc w:val="both"/>
        <w:rPr>
          <w:rFonts w:ascii="Arial" w:eastAsia="Times New Roman" w:hAnsi="Arial" w:cs="Arial"/>
          <w:lang w:eastAsia="es-ES"/>
        </w:rPr>
      </w:pPr>
      <w:r w:rsidRPr="005F1192">
        <w:rPr>
          <w:rFonts w:ascii="Arial" w:eastAsia="Times New Roman" w:hAnsi="Arial" w:cs="Arial"/>
          <w:b/>
          <w:bCs/>
          <w:lang w:eastAsia="es-ES"/>
        </w:rPr>
        <w:t>Cuarto</w:t>
      </w:r>
      <w:r w:rsidRPr="005F1192">
        <w:rPr>
          <w:rFonts w:ascii="Arial" w:eastAsia="Times New Roman" w:hAnsi="Arial" w:cs="Arial"/>
          <w:lang w:eastAsia="es-ES"/>
        </w:rPr>
        <w:t>: Que las disposiciones o principios con los que se vaya a llenar la deficiencia no contraríen, de algún modo, las bases esenciales del sistema legal de sustentación de la institución suplida.</w:t>
      </w:r>
    </w:p>
    <w:p w:rsidR="00041ACE" w:rsidRPr="005F1192" w:rsidRDefault="00041ACE" w:rsidP="00041ACE">
      <w:pPr>
        <w:spacing w:before="100" w:beforeAutospacing="1" w:after="100" w:afterAutospacing="1" w:line="240" w:lineRule="auto"/>
        <w:jc w:val="both"/>
        <w:rPr>
          <w:rFonts w:ascii="Arial" w:eastAsia="Times New Roman" w:hAnsi="Arial" w:cs="Arial"/>
          <w:lang w:eastAsia="es-ES"/>
        </w:rPr>
      </w:pPr>
      <w:r w:rsidRPr="005F1192">
        <w:rPr>
          <w:rFonts w:ascii="Arial" w:eastAsia="Times New Roman" w:hAnsi="Arial" w:cs="Arial"/>
          <w:lang w:eastAsia="es-ES"/>
        </w:rPr>
        <w:t>Ante  la falta de uno de estos requisitos, no puede operar la supletoriedad de una legislación en otra.</w:t>
      </w:r>
    </w:p>
    <w:p w:rsidR="00041ACE" w:rsidRPr="005F1192" w:rsidRDefault="00041ACE" w:rsidP="00041ACE">
      <w:pPr>
        <w:jc w:val="both"/>
        <w:rPr>
          <w:rFonts w:ascii="Arial" w:hAnsi="Arial" w:cs="Arial"/>
        </w:rPr>
      </w:pPr>
      <w:r w:rsidRPr="005F1192">
        <w:rPr>
          <w:rFonts w:ascii="Arial" w:hAnsi="Arial" w:cs="Arial"/>
        </w:rPr>
        <w:lastRenderedPageBreak/>
        <w:t>En apoyo de lo anterior, se cita la jurisprudencia 2a./J. 34/2013 (10a.) de la Segunda Sala de la Suprema Corte de Justicia de la Nación, visible en el Semanario Judicial de la Federación y su Gaceta, Décima Época, Libro XVIII, Tomo 2, marzo de 2013, página 1065, del tenor literal siguiente:</w:t>
      </w:r>
    </w:p>
    <w:p w:rsidR="00041ACE" w:rsidRPr="005F1192" w:rsidRDefault="00041ACE" w:rsidP="00041ACE">
      <w:pPr>
        <w:jc w:val="both"/>
        <w:rPr>
          <w:rFonts w:ascii="Arial" w:hAnsi="Arial" w:cs="Arial"/>
          <w:i/>
        </w:rPr>
      </w:pPr>
      <w:r w:rsidRPr="005F1192">
        <w:rPr>
          <w:rFonts w:ascii="Arial" w:hAnsi="Arial" w:cs="Arial"/>
          <w:i/>
        </w:rPr>
        <w:t>"SUPLETORIEDAD DE LAS LEYES. REQUISITOS PARA QUE OPERE.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La ley a suplir no contemple la institución o las cuestiones jurídicas que pretenden aplicarse supletoriamente o, aun estableciéndolas, no las desarrolle o las regule deficientemente;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p>
    <w:p w:rsidR="00041ACE" w:rsidRPr="005F1192" w:rsidRDefault="00041ACE" w:rsidP="00041ACE">
      <w:pPr>
        <w:jc w:val="both"/>
        <w:rPr>
          <w:rFonts w:ascii="Arial" w:hAnsi="Arial" w:cs="Arial"/>
        </w:rPr>
      </w:pPr>
      <w:r w:rsidRPr="005F1192">
        <w:rPr>
          <w:rFonts w:ascii="Arial" w:hAnsi="Arial" w:cs="Arial"/>
          <w:b/>
        </w:rPr>
        <w:t>SEXTO.-</w:t>
      </w:r>
      <w:r w:rsidRPr="005F1192">
        <w:rPr>
          <w:rFonts w:ascii="Arial" w:hAnsi="Arial" w:cs="Arial"/>
        </w:rPr>
        <w:t xml:space="preserve"> Con base en todo lo expuesto, quien juzga decreta la </w:t>
      </w:r>
      <w:r w:rsidRPr="005F1192">
        <w:rPr>
          <w:rFonts w:ascii="Arial" w:hAnsi="Arial" w:cs="Arial"/>
          <w:b/>
        </w:rPr>
        <w:t>ILEGALIDAD</w:t>
      </w:r>
      <w:r w:rsidRPr="005F1192">
        <w:rPr>
          <w:rFonts w:ascii="Arial" w:hAnsi="Arial" w:cs="Arial"/>
        </w:rPr>
        <w:t xml:space="preserve"> </w:t>
      </w:r>
      <w:r w:rsidRPr="005F1192">
        <w:rPr>
          <w:rFonts w:ascii="Arial" w:hAnsi="Arial" w:cs="Arial"/>
          <w:b/>
        </w:rPr>
        <w:t>Y NULIDAD TOTAL DE LOS ACTOS ADMINISTRATIVOS IMPUGNADOS</w:t>
      </w:r>
      <w:r w:rsidRPr="005F1192">
        <w:rPr>
          <w:rFonts w:ascii="Arial" w:hAnsi="Arial" w:cs="Arial"/>
        </w:rPr>
        <w:t>,  para el efecto de que la demandada, en el término de quince días,  después de que cause estado la presente resolución,   deje sin efectos el oficio 1195/2020, de fecha 18 dieciocho de diciembre de 2020 dos mil veinte; autorice y permita la regularización fiscal del predio de la impetrante.</w:t>
      </w:r>
    </w:p>
    <w:p w:rsidR="00041ACE" w:rsidRPr="005F1192" w:rsidRDefault="00041ACE" w:rsidP="00041ACE">
      <w:pPr>
        <w:jc w:val="both"/>
        <w:rPr>
          <w:rFonts w:ascii="Arial" w:hAnsi="Arial" w:cs="Arial"/>
        </w:rPr>
      </w:pPr>
      <w:r w:rsidRPr="005F1192">
        <w:rPr>
          <w:rFonts w:ascii="Arial" w:hAnsi="Arial" w:cs="Arial"/>
        </w:rPr>
        <w:t>La demandada debe hacer  la apertura  de la cuenta catastral y el número de cuenta predial  a la justiciable, previo pago de derechos o impuestos de acuerdo a lo señalado por el artículo 167 de la Ley de Hacienda para los Municipios del Estado de Guanajuato.</w:t>
      </w:r>
    </w:p>
    <w:p w:rsidR="00041ACE" w:rsidRPr="005F1192" w:rsidRDefault="00041ACE" w:rsidP="00041ACE">
      <w:pPr>
        <w:jc w:val="both"/>
        <w:rPr>
          <w:rFonts w:ascii="Arial" w:hAnsi="Arial" w:cs="Arial"/>
        </w:rPr>
      </w:pPr>
      <w:r w:rsidRPr="005F1192">
        <w:rPr>
          <w:rFonts w:ascii="Arial" w:hAnsi="Arial" w:cs="Arial"/>
        </w:rPr>
        <w:t>Debiendo informar la recurrida,  a este  Honorable Órgano Jurisdiccional,  el cumplimiento de esta sentencia, lo anterior de conformidad con los  artículos 300 fracciones  II y III,  302 fracciones II y IV del Código de Procedimiento y Justicia Administrativa para el Estado y los Municipios de Guanajuato.--------------------------</w:t>
      </w:r>
      <w:r>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SEPTIMO.-</w:t>
      </w:r>
      <w:r w:rsidRPr="005F119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41ACE" w:rsidRDefault="00041ACE" w:rsidP="00041ACE">
      <w:pPr>
        <w:jc w:val="both"/>
        <w:rPr>
          <w:rFonts w:ascii="Arial" w:hAnsi="Arial" w:cs="Arial"/>
        </w:rPr>
      </w:pPr>
      <w:r w:rsidRPr="005F1192">
        <w:rPr>
          <w:rFonts w:ascii="Arial" w:hAnsi="Arial" w:cs="Arial"/>
        </w:rPr>
        <w:t>El actor ofreció  las siguientes pruebas:</w:t>
      </w:r>
    </w:p>
    <w:p w:rsidR="00041ACE" w:rsidRDefault="00041ACE" w:rsidP="00041ACE">
      <w:pPr>
        <w:jc w:val="both"/>
        <w:rPr>
          <w:rFonts w:ascii="Arial" w:hAnsi="Arial" w:cs="Arial"/>
        </w:rPr>
      </w:pPr>
    </w:p>
    <w:p w:rsidR="00041ACE" w:rsidRDefault="00041ACE" w:rsidP="00041ACE">
      <w:pPr>
        <w:jc w:val="both"/>
        <w:rPr>
          <w:rFonts w:ascii="Arial" w:hAnsi="Arial" w:cs="Arial"/>
        </w:rPr>
      </w:pPr>
    </w:p>
    <w:p w:rsidR="00041ACE" w:rsidRDefault="00041ACE" w:rsidP="00041ACE">
      <w:pPr>
        <w:jc w:val="both"/>
        <w:rPr>
          <w:rFonts w:ascii="Arial" w:hAnsi="Arial" w:cs="Arial"/>
        </w:rPr>
      </w:pPr>
    </w:p>
    <w:p w:rsidR="00041ACE" w:rsidRPr="005F1192" w:rsidRDefault="00041ACE" w:rsidP="00041ACE">
      <w:pPr>
        <w:jc w:val="both"/>
        <w:rPr>
          <w:rFonts w:ascii="Arial" w:hAnsi="Arial" w:cs="Arial"/>
        </w:rPr>
      </w:pPr>
    </w:p>
    <w:p w:rsidR="00041ACE" w:rsidRPr="005F1192" w:rsidRDefault="00041ACE" w:rsidP="00041ACE">
      <w:pPr>
        <w:jc w:val="both"/>
        <w:rPr>
          <w:rFonts w:ascii="Arial" w:hAnsi="Arial" w:cs="Arial"/>
        </w:rPr>
      </w:pPr>
      <w:r w:rsidRPr="005F1192">
        <w:rPr>
          <w:rFonts w:ascii="Arial" w:hAnsi="Arial" w:cs="Arial"/>
        </w:rPr>
        <w:t>1.- Copias simples de: Credencial de elector de la demandante, ingreso de traslado de dominio número 7465 y 7464, oficio número 1195/2020, de fecha 18 dieciocho de diciembre de 2020 dos mil veinte y sentencia dictada dentro del expediente 511/2018 ventilado en el Juzgado Segundo Civil del Partido Judicial de San Luis de la Paz, Guanajuato, documentales que se les da valor probatorio para acreditar la existencia del acto administrativo que se impugna dentro de este proceso.</w:t>
      </w:r>
    </w:p>
    <w:p w:rsidR="00041ACE" w:rsidRPr="005F1192" w:rsidRDefault="00041ACE" w:rsidP="00041ACE">
      <w:pPr>
        <w:jc w:val="both"/>
        <w:rPr>
          <w:rFonts w:ascii="Arial" w:hAnsi="Arial" w:cs="Arial"/>
        </w:rPr>
      </w:pPr>
      <w:r w:rsidRPr="005F1192">
        <w:rPr>
          <w:rFonts w:ascii="Arial" w:hAnsi="Arial" w:cs="Arial"/>
        </w:rPr>
        <w:t>La autoridad demandada ofreció   las siguientes pruebas:</w:t>
      </w:r>
    </w:p>
    <w:p w:rsidR="00041ACE" w:rsidRPr="005F1192" w:rsidRDefault="00041ACE" w:rsidP="00041ACE">
      <w:pPr>
        <w:jc w:val="both"/>
        <w:rPr>
          <w:rFonts w:ascii="Arial" w:hAnsi="Arial" w:cs="Arial"/>
        </w:rPr>
      </w:pPr>
      <w:r w:rsidRPr="005F1192">
        <w:rPr>
          <w:rFonts w:ascii="Arial" w:hAnsi="Arial" w:cs="Arial"/>
        </w:rPr>
        <w:t xml:space="preserve">                                                                                                                                                                                                                                                                                                                                                                                                                                                                                                                                                                                                                                                                                                                                                                                    1.-Documental Pública consistente en copia certificada del  nombramiento del cargo que ostenta dentro de la administración pública municipal de esta ciudad, documental que se la da valor probatorio para acreditar dicha  personalidad.</w:t>
      </w:r>
    </w:p>
    <w:p w:rsidR="00041ACE" w:rsidRPr="005F1192" w:rsidRDefault="00041ACE" w:rsidP="00041ACE">
      <w:pPr>
        <w:jc w:val="both"/>
        <w:rPr>
          <w:rFonts w:ascii="Arial" w:hAnsi="Arial" w:cs="Arial"/>
        </w:rPr>
      </w:pPr>
      <w:r w:rsidRPr="005F1192">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5F1192">
        <w:rPr>
          <w:rFonts w:ascii="Arial" w:hAnsi="Arial" w:cs="Arial"/>
        </w:rPr>
        <w:t>------------------------------------------------------</w:t>
      </w:r>
    </w:p>
    <w:p w:rsidR="00041ACE" w:rsidRPr="005F1192" w:rsidRDefault="00041ACE" w:rsidP="00041ACE">
      <w:pPr>
        <w:jc w:val="center"/>
        <w:rPr>
          <w:rFonts w:ascii="Arial" w:hAnsi="Arial" w:cs="Arial"/>
          <w:b/>
        </w:rPr>
      </w:pPr>
      <w:r w:rsidRPr="005F1192">
        <w:rPr>
          <w:rFonts w:ascii="Arial" w:hAnsi="Arial" w:cs="Arial"/>
          <w:b/>
        </w:rPr>
        <w:t>R E S U E L V E</w:t>
      </w:r>
    </w:p>
    <w:p w:rsidR="00041ACE" w:rsidRPr="005F1192" w:rsidRDefault="00041ACE" w:rsidP="00041ACE">
      <w:pPr>
        <w:jc w:val="both"/>
        <w:rPr>
          <w:rFonts w:ascii="Arial" w:hAnsi="Arial" w:cs="Arial"/>
        </w:rPr>
      </w:pPr>
      <w:r w:rsidRPr="005F1192">
        <w:rPr>
          <w:rFonts w:ascii="Arial" w:hAnsi="Arial" w:cs="Arial"/>
          <w:b/>
        </w:rPr>
        <w:t>PRIMERO.-</w:t>
      </w:r>
      <w:r w:rsidRPr="005F1192">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SEGUNDO.-</w:t>
      </w:r>
      <w:r w:rsidRPr="005F1192">
        <w:rPr>
          <w:rFonts w:ascii="Arial" w:hAnsi="Arial" w:cs="Arial"/>
        </w:rPr>
        <w:t xml:space="preserve"> </w:t>
      </w:r>
      <w:r w:rsidRPr="005F1192">
        <w:rPr>
          <w:rFonts w:ascii="Arial" w:hAnsi="Arial" w:cs="Arial"/>
          <w:b/>
        </w:rPr>
        <w:t>NO SE SOBRESEE EL PRESENTE PROCESO</w:t>
      </w:r>
      <w:r w:rsidRPr="005F1192">
        <w:rPr>
          <w:rFonts w:ascii="Arial" w:hAnsi="Arial" w:cs="Arial"/>
        </w:rPr>
        <w:t>, por las razones y fundamentos expuestos en el considerando tercero  de ésta resolución.----------</w:t>
      </w:r>
      <w:r>
        <w:rPr>
          <w:rFonts w:ascii="Arial" w:hAnsi="Arial" w:cs="Arial"/>
        </w:rPr>
        <w:t>--------</w:t>
      </w:r>
    </w:p>
    <w:p w:rsidR="00041ACE" w:rsidRPr="005F1192" w:rsidRDefault="00041ACE" w:rsidP="00041ACE">
      <w:pPr>
        <w:jc w:val="both"/>
        <w:rPr>
          <w:rFonts w:ascii="Arial" w:hAnsi="Arial" w:cs="Arial"/>
          <w:b/>
        </w:rPr>
      </w:pPr>
      <w:r w:rsidRPr="005F1192">
        <w:rPr>
          <w:rFonts w:ascii="Arial" w:hAnsi="Arial" w:cs="Arial"/>
          <w:b/>
        </w:rPr>
        <w:t>TERCERO.- SE DECLARA LA NULIDAD TOTAL DE LOS  ACTOS IMPUGNADOS</w:t>
      </w:r>
      <w:r w:rsidRPr="005F1192">
        <w:rPr>
          <w:rFonts w:ascii="Arial" w:hAnsi="Arial" w:cs="Arial"/>
        </w:rPr>
        <w:t>, por lo asentado en el considerando Cuarto,  Quinto y Sexto  de esta resolución,  lo anterior con fundamento en el artículo 300 fracción II y III,   y 302 fracciones II y IV del Código de Procedimiento y Justicia Administrativa vigente para el Estado y los Municipios de Guanajuato.---</w:t>
      </w:r>
      <w:r>
        <w:rPr>
          <w:rFonts w:ascii="Arial" w:hAnsi="Arial" w:cs="Arial"/>
        </w:rPr>
        <w:t>-------------------------------------------------</w:t>
      </w:r>
      <w:r w:rsidRPr="005F1192">
        <w:rPr>
          <w:rFonts w:ascii="Arial" w:hAnsi="Arial" w:cs="Arial"/>
        </w:rPr>
        <w:t>-------------------------</w:t>
      </w:r>
    </w:p>
    <w:p w:rsidR="00041ACE" w:rsidRPr="005F1192" w:rsidRDefault="00041ACE" w:rsidP="00041ACE">
      <w:pPr>
        <w:jc w:val="both"/>
        <w:rPr>
          <w:rFonts w:ascii="Arial" w:hAnsi="Arial" w:cs="Arial"/>
        </w:rPr>
      </w:pPr>
      <w:r w:rsidRPr="005F1192">
        <w:rPr>
          <w:rFonts w:ascii="Arial" w:hAnsi="Arial" w:cs="Arial"/>
          <w:b/>
        </w:rPr>
        <w:t xml:space="preserve">CUARTO.- </w:t>
      </w:r>
      <w:r w:rsidRPr="005F119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F1192">
        <w:rPr>
          <w:rFonts w:ascii="Arial" w:hAnsi="Arial" w:cs="Arial"/>
        </w:rPr>
        <w:t>----------------</w:t>
      </w:r>
    </w:p>
    <w:p w:rsidR="00041ACE" w:rsidRDefault="00041ACE" w:rsidP="00041ACE">
      <w:pPr>
        <w:jc w:val="both"/>
        <w:rPr>
          <w:rFonts w:ascii="Arial" w:hAnsi="Arial" w:cs="Arial"/>
          <w:b/>
        </w:rPr>
      </w:pPr>
    </w:p>
    <w:p w:rsidR="00041ACE" w:rsidRPr="005F1192" w:rsidRDefault="00041ACE" w:rsidP="00041ACE">
      <w:pPr>
        <w:jc w:val="both"/>
        <w:rPr>
          <w:rFonts w:ascii="Arial" w:hAnsi="Arial" w:cs="Arial"/>
        </w:rPr>
      </w:pPr>
      <w:r w:rsidRPr="005F1192">
        <w:rPr>
          <w:rFonts w:ascii="Arial" w:hAnsi="Arial" w:cs="Arial"/>
          <w:b/>
        </w:rPr>
        <w:lastRenderedPageBreak/>
        <w:t>NOTIFIQUESE.</w:t>
      </w:r>
      <w:r w:rsidRPr="005F1192">
        <w:rPr>
          <w:rFonts w:ascii="Arial" w:hAnsi="Arial" w:cs="Arial"/>
        </w:rPr>
        <w:t>---------------------------------------------------------------------</w:t>
      </w:r>
      <w:r>
        <w:rPr>
          <w:rFonts w:ascii="Arial" w:hAnsi="Arial" w:cs="Arial"/>
        </w:rPr>
        <w:t>----------------------</w:t>
      </w:r>
    </w:p>
    <w:p w:rsidR="00041ACE" w:rsidRPr="005F1192" w:rsidRDefault="00041ACE" w:rsidP="00041ACE">
      <w:pPr>
        <w:jc w:val="both"/>
        <w:rPr>
          <w:rFonts w:ascii="Arial" w:hAnsi="Arial" w:cs="Arial"/>
        </w:rPr>
      </w:pPr>
      <w:r w:rsidRPr="005F119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5F1192">
        <w:rPr>
          <w:rFonts w:ascii="Arial" w:hAnsi="Arial" w:cs="Arial"/>
        </w:rPr>
        <w:t xml:space="preserve"> </w:t>
      </w:r>
    </w:p>
    <w:p w:rsidR="00041ACE" w:rsidRPr="005F1192" w:rsidRDefault="00041ACE" w:rsidP="00041ACE">
      <w:pPr>
        <w:rPr>
          <w:rFonts w:ascii="Arial" w:hAnsi="Arial" w:cs="Arial"/>
        </w:rPr>
      </w:pPr>
    </w:p>
    <w:p w:rsidR="00041ACE" w:rsidRPr="005F1192" w:rsidRDefault="00041ACE" w:rsidP="00041ACE">
      <w:pPr>
        <w:rPr>
          <w:rFonts w:ascii="Arial" w:hAnsi="Arial" w:cs="Arial"/>
        </w:rPr>
      </w:pPr>
    </w:p>
    <w:p w:rsidR="00041ACE" w:rsidRPr="005F1192" w:rsidRDefault="00041ACE" w:rsidP="00041ACE">
      <w:pPr>
        <w:jc w:val="both"/>
        <w:rPr>
          <w:rFonts w:ascii="Arial" w:hAnsi="Arial" w:cs="Arial"/>
        </w:rPr>
      </w:pPr>
    </w:p>
    <w:p w:rsidR="00041ACE" w:rsidRPr="005F1192" w:rsidRDefault="00041ACE" w:rsidP="00041ACE">
      <w:pPr>
        <w:jc w:val="both"/>
        <w:rPr>
          <w:rFonts w:ascii="Arial" w:hAnsi="Arial" w:cs="Arial"/>
        </w:rPr>
      </w:pPr>
    </w:p>
    <w:p w:rsidR="006122B8" w:rsidRDefault="006122B8"/>
    <w:sectPr w:rsidR="006122B8" w:rsidSect="00041ACE">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E"/>
    <w:rsid w:val="00041ACE"/>
    <w:rsid w:val="0061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E72B-7C27-43B1-A00D-869B37DB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C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4526</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2021-10-04T18:00:00Z</dcterms:created>
  <dcterms:modified xsi:type="dcterms:W3CDTF">2021-10-04T18:05:00Z</dcterms:modified>
</cp:coreProperties>
</file>